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5363A8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06.06</w:t>
      </w:r>
      <w:r w:rsidR="004B2B9C">
        <w:rPr>
          <w:rFonts w:asciiTheme="minorHAnsi" w:hAnsiTheme="minorHAnsi"/>
          <w:b w:val="0"/>
          <w:bCs w:val="0"/>
          <w:sz w:val="20"/>
        </w:rPr>
        <w:t>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500165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5363A8" w:rsidRDefault="005363A8" w:rsidP="005363A8">
      <w:pPr>
        <w:spacing w:after="200" w:line="276" w:lineRule="auto"/>
        <w:jc w:val="center"/>
        <w:rPr>
          <w:rFonts w:ascii="Calibri" w:eastAsia="Calibri" w:hAnsi="Calibri"/>
          <w:b/>
          <w:caps/>
          <w:color w:val="002060"/>
          <w:sz w:val="32"/>
          <w:szCs w:val="32"/>
        </w:rPr>
      </w:pPr>
    </w:p>
    <w:p w:rsidR="005363A8" w:rsidRPr="005363A8" w:rsidRDefault="005363A8" w:rsidP="005363A8">
      <w:pPr>
        <w:spacing w:after="200" w:line="276" w:lineRule="auto"/>
        <w:jc w:val="center"/>
        <w:rPr>
          <w:rFonts w:ascii="Calibri" w:eastAsia="Calibri" w:hAnsi="Calibri"/>
          <w:b/>
          <w:caps/>
          <w:color w:val="002060"/>
          <w:sz w:val="32"/>
          <w:szCs w:val="32"/>
        </w:rPr>
      </w:pPr>
      <w:r w:rsidRPr="005363A8">
        <w:rPr>
          <w:rFonts w:ascii="Calibri" w:eastAsia="Calibri" w:hAnsi="Calibri"/>
          <w:b/>
          <w:caps/>
          <w:color w:val="002060"/>
          <w:sz w:val="32"/>
          <w:szCs w:val="32"/>
        </w:rPr>
        <w:t>Jawność płac – jak robią to inni?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after="160" w:line="276" w:lineRule="auto"/>
        <w:jc w:val="both"/>
        <w:rPr>
          <w:rFonts w:ascii="Calibri" w:eastAsia="Calibri" w:hAnsi="Calibri"/>
          <w:sz w:val="20"/>
          <w:szCs w:val="20"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Jawność i sprawiedliwość. W tych dwóch słowach można streścić współczesne trendy wynagradzania. Co więcej, bez jawności trudno ocenić czy wynagrodzenia są sprawiedliwe. Pracodawcy mogą zdecydować się na różny zakres i sposób ujawniana danych. Chociaż pełna jawność płac w Polsce to raczej odległa perspektywa, to warto pokazać przykłady firm, które zdecydowały się na taki krok.</w:t>
      </w:r>
      <w:r w:rsidRPr="005363A8">
        <w:rPr>
          <w:rFonts w:ascii="Calibri" w:eastAsia="Calibri" w:hAnsi="Calibri"/>
          <w:sz w:val="20"/>
          <w:szCs w:val="20"/>
        </w:rPr>
        <w:t xml:space="preserve"> 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Na wstępie warto zaznaczyć, że wszystkie opisane w artykule organizacje określane są mianem „top”, a prezesi większości z nich podkreślają przewagę zalet nad wadami wprowadzenia tego typu systemu. </w:t>
      </w:r>
    </w:p>
    <w:p w:rsidR="005363A8" w:rsidRPr="005363A8" w:rsidRDefault="005363A8" w:rsidP="005363A8">
      <w:pPr>
        <w:spacing w:line="276" w:lineRule="auto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rPr>
          <w:rFonts w:ascii="Calibri" w:eastAsia="Calibri" w:hAnsi="Calibri" w:cs="Calibri"/>
          <w:b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Ile zarabia sprzedawca John zatrudniony w firmie </w:t>
      </w:r>
      <w:proofErr w:type="spellStart"/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Buffer</w:t>
      </w:r>
      <w:proofErr w:type="spellEnd"/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?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Przykładem pełnej jawności płac jest angielska firma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Buffer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, której założyciele zdecydowali się na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całkowite ujawnienie płac i opublikowanie na swojej stronie Internetowej listy wynagrodzeń wszystkich swoich pracowników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.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Oznacza to, że do imienia pracownika przypisana jest konkretna kwota wynagrodzenia.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Listę może zobaczyć każdy odwiedzający stronę. W tym miejscu warto dodać, że nie wszystkie firmy posiadające całkowitą jawność płac zdecydowały się ujawniać wynagrodzenia pracowników „na zewnątrz”.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 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Wynagrodzenia w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SumAll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, firmie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dostarczającej narzędzia do analizy skuteczności mediów społecznościowych,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są dostępne tylko wewnątrz.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Obecnie wynagrodzenie każdego pracownika jest zapisane na firmowym dysku Google, który jest dostępny jedynie dla osób zatrudnionych w tej organizacji. 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bookmarkStart w:id="0" w:name="_Hlk6398767"/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Kluczowe znaczenie dla skutecznego wdrożenia jawności płac w firmie </w:t>
      </w:r>
      <w:bookmarkEnd w:id="0"/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ma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sprawiedliwy, przejrzysty oraz zrozumiały dla pracowników system naliczania płac.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W firmach mamy do czynienia z wieloma różnymi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czynnikamii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, które mają wpływ na płace. Dwaj pracownicy mogą wykonywać te same zadania, ale jeden może posiadać większe doświadczenie, a drugi wykształcenie: czy powinni otrzymywać tę samą pensję? Jak wpływają poszczególne czynniki na wysokość wynagrodzenia? Na ile cenimy wykształcenie, a na ile doświadczenie? Dostarczenie pracownikom konkretnych reguł dotyczących tego, jaką rolę odgrywają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lastRenderedPageBreak/>
        <w:t>poszczególne składowe, wpływające na wysokość płac zwiększy szansę na to, że będą oni postrzegać system wynagrodzeń jako sprawiedliwy.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Dlatego też na stronie firmy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Buffer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widnieje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wzór na podstawie, którego wyliczane są pensje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. Dzięki niemu każdy zatrudniony wie z czego wynikają różnice w wysokościach wynagrodzeń poszczególnych pracowników. W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Bufferze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wynagrodzenia zależą od typu stanowiska, stażu pracy, doświadczenia oraz kosztów życia, a  sposób ich obliczania wygląda następująco:</w:t>
      </w:r>
    </w:p>
    <w:p w:rsidR="005363A8" w:rsidRPr="005363A8" w:rsidRDefault="005363A8" w:rsidP="005363A8">
      <w:pPr>
        <w:spacing w:line="276" w:lineRule="auto"/>
        <w:rPr>
          <w:rFonts w:ascii="Calibri" w:eastAsia="Calibri" w:hAnsi="Calibri" w:cs="Calibri"/>
          <w:b/>
          <w:bCs/>
          <w:color w:val="2C2C2C"/>
        </w:rPr>
      </w:pPr>
      <w:r w:rsidRPr="005363A8">
        <w:rPr>
          <w:rFonts w:ascii="Calibri" w:eastAsia="Calibri" w:hAnsi="Calibri" w:cs="Calibri"/>
          <w:b/>
          <w:bCs/>
          <w:noProof/>
          <w:color w:val="2C2C2C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DA392" wp14:editId="0948FFE5">
                <wp:simplePos x="0" y="0"/>
                <wp:positionH relativeFrom="margin">
                  <wp:posOffset>5080</wp:posOffset>
                </wp:positionH>
                <wp:positionV relativeFrom="paragraph">
                  <wp:posOffset>109220</wp:posOffset>
                </wp:positionV>
                <wp:extent cx="5695950" cy="381000"/>
                <wp:effectExtent l="19050" t="19050" r="19050" b="19050"/>
                <wp:wrapNone/>
                <wp:docPr id="11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81000"/>
                        </a:xfrm>
                        <a:prstGeom prst="roundRect">
                          <a:avLst/>
                        </a:prstGeom>
                        <a:noFill/>
                        <a:ln w="34925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4DA40" id="Prostokąt: zaokrąglone rogi 2" o:spid="_x0000_s1026" style="position:absolute;margin-left:.4pt;margin-top:8.6pt;width:448.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" filled="f" strokecolor="#2f528f" strokeweight="2.75pt">
                <v:stroke joinstyle="miter"/>
                <w10:wrap anchorx="margin"/>
              </v:roundrect>
            </w:pict>
          </mc:Fallback>
        </mc:AlternateContent>
      </w:r>
    </w:p>
    <w:p w:rsidR="005363A8" w:rsidRPr="005363A8" w:rsidRDefault="005363A8" w:rsidP="005363A8">
      <w:pPr>
        <w:spacing w:line="276" w:lineRule="auto"/>
        <w:jc w:val="center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eastAsia="Calibri" w:hAnsi="Calibri" w:cs="Calibri"/>
          <w:b/>
          <w:bCs/>
          <w:color w:val="2C2C2C"/>
        </w:rPr>
        <w:t>wynagrodzenie</w:t>
      </w:r>
      <w:r w:rsidRPr="005363A8">
        <w:rPr>
          <w:rFonts w:ascii="Calibri" w:eastAsia="Calibri" w:hAnsi="Calibri" w:cs="Calibri"/>
          <w:color w:val="2C2C2C"/>
          <w:shd w:val="clear" w:color="auto" w:fill="FFFFFF"/>
        </w:rPr>
        <w:t xml:space="preserve"> = </w:t>
      </w:r>
      <w:r w:rsidRPr="005363A8">
        <w:rPr>
          <w:rFonts w:ascii="Calibri" w:eastAsia="Calibri" w:hAnsi="Calibri" w:cs="Calibri"/>
          <w:color w:val="2C2C2C"/>
        </w:rPr>
        <w:t xml:space="preserve">typ stanowiska </w:t>
      </w:r>
      <w:r w:rsidRPr="005363A8">
        <w:rPr>
          <w:rFonts w:ascii="Calibri" w:eastAsia="Calibri" w:hAnsi="Calibri" w:cs="Calibri"/>
          <w:color w:val="2C2C2C"/>
          <w:shd w:val="clear" w:color="auto" w:fill="FFFFFF"/>
        </w:rPr>
        <w:t xml:space="preserve">x </w:t>
      </w:r>
      <w:r w:rsidRPr="005363A8">
        <w:rPr>
          <w:rFonts w:ascii="Calibri" w:eastAsia="Calibri" w:hAnsi="Calibri" w:cs="Calibri"/>
          <w:color w:val="2C2C2C"/>
        </w:rPr>
        <w:t>staż pracy</w:t>
      </w:r>
      <w:r w:rsidRPr="005363A8">
        <w:rPr>
          <w:rFonts w:ascii="Calibri" w:eastAsia="Calibri" w:hAnsi="Calibri" w:cs="Calibri"/>
          <w:color w:val="2C2C2C"/>
          <w:shd w:val="clear" w:color="auto" w:fill="FFFFFF"/>
        </w:rPr>
        <w:t xml:space="preserve"> x </w:t>
      </w:r>
      <w:r w:rsidRPr="005363A8">
        <w:rPr>
          <w:rFonts w:ascii="Calibri" w:eastAsia="Calibri" w:hAnsi="Calibri" w:cs="Calibri"/>
          <w:color w:val="2C2C2C"/>
        </w:rPr>
        <w:t>doświadczenie</w:t>
      </w:r>
      <w:r w:rsidRPr="005363A8">
        <w:rPr>
          <w:rFonts w:ascii="Calibri" w:eastAsia="Calibri" w:hAnsi="Calibri" w:cs="Calibri"/>
          <w:color w:val="2C2C2C"/>
          <w:shd w:val="clear" w:color="auto" w:fill="FFFFFF"/>
        </w:rPr>
        <w:t xml:space="preserve"> + </w:t>
      </w:r>
      <w:r w:rsidRPr="005363A8">
        <w:rPr>
          <w:rFonts w:ascii="Calibri" w:eastAsia="Calibri" w:hAnsi="Calibri" w:cs="Calibri"/>
          <w:color w:val="2C2C2C"/>
        </w:rPr>
        <w:t>lokalizacja</w:t>
      </w:r>
      <w:r w:rsidRPr="005363A8">
        <w:rPr>
          <w:rFonts w:ascii="Calibri" w:eastAsia="Calibri" w:hAnsi="Calibri" w:cs="Calibri"/>
          <w:color w:val="2C2C2C"/>
          <w:shd w:val="clear" w:color="auto" w:fill="FFFFFF"/>
        </w:rPr>
        <w:t xml:space="preserve"> + 10 tys. USD*</w:t>
      </w:r>
    </w:p>
    <w:p w:rsidR="005363A8" w:rsidRPr="005363A8" w:rsidRDefault="005363A8" w:rsidP="005363A8">
      <w:pPr>
        <w:spacing w:line="276" w:lineRule="auto"/>
        <w:rPr>
          <w:rFonts w:ascii="Calibri" w:hAnsi="Calibri" w:cs="Calibri"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jc w:val="center"/>
        <w:rPr>
          <w:rFonts w:ascii="Calibri" w:hAnsi="Calibri" w:cs="Calibri"/>
          <w:i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i/>
          <w:color w:val="2C2C2C"/>
          <w:shd w:val="clear" w:color="auto" w:fill="FFFFFF"/>
          <w:lang w:eastAsia="pl-PL"/>
        </w:rPr>
        <w:t>*jeśli pracownik zdecyduje się na dodatkowe środki finansowe zamiast udziału w zyskach</w:t>
      </w:r>
    </w:p>
    <w:p w:rsidR="005363A8" w:rsidRPr="005363A8" w:rsidRDefault="005363A8" w:rsidP="005363A8">
      <w:pPr>
        <w:spacing w:line="276" w:lineRule="auto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lang w:eastAsia="pl-PL"/>
        </w:rPr>
        <w:br/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gdzie: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*typ stanowiska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- mediana dla stanowiska wg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Payscale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lub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Glassdor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razy mnożnik kosztów życia plus dodatek, który waha się od 0 do 8 000 USD. Mnożnik kosztów życia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 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to jeden z trzech obszarów geograficznych, oparty na wysokim, średnim lub niskim koszcie powierzchni mieszkalnej.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Buffer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używa danych o kosztach życia w poszczególnych stanach z portalu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Numbeo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. Wskaźnik wysokiego kosztu mieszkania to 100%, średniego 85%, a niskiego 75%. Przykładowo: dane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Numbeo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wskazują, że potrzeba około 1 575 USD w San Francisco (który zawsze jest punktem odniesienia), aby utrzymać ten sam standard życia, jaki można uzyskać za 1 000 USD w San Luis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Obispo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w Kalifornii. 1 000 USD podzielone przez 1 575 USD daje indeks 0,63, który zaliczany jest do „średniego” kosztu mieszkania.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*staż pracy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to dodatek, który otrzymują pracownicy ze względu na pełnioną funkcję (przy czym brane są jedynie wyższe szczeble zatrudnienia). Osoby te mogą otrzymać dodatkowo od 5% (dla stanowiska starszego specjalisty) do 20% (dla członków zarządu) ich wynagrodzenia podstawowego oraz od 3 000 – 12 000 USD w zależności od przychodów firmy.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*doświadczenie –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firma przyjmuje następujące kategorie wraz z mnożnikami: mistrz (1.3), zaawansowany (1.2), średni (1.1), junior (1).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eastAsia="Calibri" w:hAnsi="Calibri" w:cs="Calibri"/>
        </w:rPr>
        <w:t>*</w:t>
      </w:r>
      <w:r w:rsidRPr="005363A8">
        <w:rPr>
          <w:rFonts w:ascii="Calibri" w:eastAsia="Calibri" w:hAnsi="Calibri" w:cs="Calibri"/>
          <w:b/>
        </w:rPr>
        <w:t>l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okalizacja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to dodatkowa kwota, jaką pracownik otrzymuje w zależności od lokalizacji oddziału, w którym pracuje. Obszary lokalizacji podzielono na cztery grupy: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val="en-US"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A: + 22 tys. USD (np. </w:t>
      </w:r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San Francisco, Hong Kong, Sydney,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Londyn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,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Paryż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,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Nowy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Jork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)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val="en-US"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B: + 12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tys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 xml:space="preserve">. USD (np. Nashville, Birmingham,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Wiedeń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val="en-US" w:eastAsia="pl-PL"/>
        </w:rPr>
        <w:t>, Austin, Vegas, Tel Aviv)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C: + 6 tys. USD (np. Tallinn, Warszawa, Bukareszt, Santiago)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D: + 0 USD (np. Manila, Delhi, Hanoi)</w:t>
      </w:r>
    </w:p>
    <w:p w:rsidR="005363A8" w:rsidRPr="005363A8" w:rsidRDefault="005363A8" w:rsidP="005363A8">
      <w:pPr>
        <w:spacing w:line="276" w:lineRule="auto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Przykładowo, jeden z pracowników zatrudniony na stanowisku projektanta zarabia 88 tys. USD rocznie. Jego wynagrodzenie można obliczyć jako iloczyn kwoty przypisanej do jego stanowiska (60 tys. USD) i mnożnika ustalonego dla średniego stażu pracy (1.1). Ze względu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lastRenderedPageBreak/>
        <w:t>na to, że pracuje w lokalizacji B otrzymuje dodatkowo 12 tys. USD. Dzięki temu, że zdecydował się na dodatkowe środki finansowe zamiast udział w zyskach firmy, do jego pensji doliczane jest 10 tys. USD. Z powodu zbyt krótkiego stażu pracy nie przysługuje mu z tego tytułu żaden dodatek.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lang w:eastAsia="pl-PL"/>
        </w:rPr>
      </w:pPr>
    </w:p>
    <w:p w:rsidR="005363A8" w:rsidRPr="005363A8" w:rsidRDefault="005363A8" w:rsidP="005363A8">
      <w:pPr>
        <w:spacing w:line="276" w:lineRule="auto"/>
        <w:jc w:val="center"/>
        <w:rPr>
          <w:rFonts w:ascii="Calibri" w:hAnsi="Calibri" w:cs="Calibri"/>
          <w:color w:val="2C2C2C"/>
          <w:lang w:eastAsia="pl-PL"/>
        </w:rPr>
      </w:pPr>
      <w:r w:rsidRPr="005363A8">
        <w:rPr>
          <w:rFonts w:ascii="Calibri" w:hAnsi="Calibri" w:cs="Calibri"/>
          <w:b/>
          <w:bCs/>
          <w:color w:val="2C2C2C"/>
          <w:lang w:eastAsia="pl-PL"/>
        </w:rPr>
        <w:t>wynagrodzenie</w:t>
      </w:r>
      <w:r w:rsidRPr="005363A8">
        <w:rPr>
          <w:rFonts w:ascii="Calibri" w:hAnsi="Calibri" w:cs="Calibri"/>
          <w:color w:val="2C2C2C"/>
          <w:lang w:eastAsia="pl-PL"/>
        </w:rPr>
        <w:t xml:space="preserve"> = 60 tys. USD x 1,1 + 12 tys. + 10 tys. = 88 tys. USD</w:t>
      </w:r>
    </w:p>
    <w:p w:rsidR="005363A8" w:rsidRPr="005363A8" w:rsidRDefault="005363A8" w:rsidP="005363A8">
      <w:pPr>
        <w:spacing w:line="276" w:lineRule="auto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Jawność płac w polskich firmach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Całkowita jawność płac w znacznej większości polskich firm jest odległą perspektywą. Znaleźć można jednak firmy, które zdecydowały się na taki krok. </w:t>
      </w:r>
      <w:hyperlink r:id="rId10" w:history="1"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 xml:space="preserve">Przykładem jest dom </w:t>
        </w:r>
        <w:proofErr w:type="spellStart"/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>mediowy</w:t>
        </w:r>
        <w:proofErr w:type="spellEnd"/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 xml:space="preserve"> OMD</w:t>
        </w:r>
      </w:hyperlink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.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Wynagrodzenia podstawowe w tej firmie są stałe, jawne i bez widełek.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Zatem wysokość płacy podstawowej pracowników na tym samym stanowisku jest taka sama.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W tym momencie nasuwa się pytanie – czy wszyscy pracownicy zatrudnieni na tym samym stanowisku powinni zarabiać tyle samo, bez względu na ich efektywność? Tym, co różnicuje płace w OMD, jest rozbudowany system premiowy. Wynagrodzenie zmienne w tej organizacji stanowi ok. 20-30% wynagrodzenia całkowitego. Jak przekonuje prezes OMD, Jakub Bierzyński, kryteria przyznawania premii są w maksymalnym stopniu zobiektywizowane. Na każdym stanowisku są to inne mierniki, a każdy pracownik raz na pół roku jest oceniany. Na  stanowiskach niższego szczebla jest to forma tabeli, którą uzupełnia menedżer. W większości przypadków premia wypłacona pracownikowi zależy również od tego, jak klient ocenia jakość świadczonych usług. Oprócz tego – raz na pół roku każdy zatrudniony uzupełnia tabelę własnej oceny. Ocena półroczna wyznacza wysokość premii, która jest wypłacana co miesiąc. Dyrektorzy i kierownicy, czyli osoby na samodzielnych stanowiskach, oceniani są wyłącznie poprzez obiektywne wyniki ich pracy. Zazwyczaj jest to kombinacja nie więcej niż 2-3 kryteriów. W ten sposób pracownicy różnią się wynagrodzeniami całkowitymi, ale jest to różnica wynikająca z wysokości premii.</w:t>
      </w: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strike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W polskiej firmie z branży IT –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Netguru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od początku jej istnienia wprowadzono częściową jawność płac.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Pracownicy znają widełki wynagrodzeń zasadniczych dla całej organizacji, nie wyłączając tych dla kierownictwa, gdyż są one jawne już w ogłoszeniach rekrutacyjnych.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Co więcej, wszyscy menedżerowie uczestniczą konsultacyjnie w procesie wprowadzania modyfikacji tabel płac. Firma przeprowadza je co roku w oparciu o obiektywne dane z kilku raportów płacowych oraz rekrutacyjnych portali branżowych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 xml:space="preserve">. Zasady podwyżek i awansów są znane i dostępne dla wszystkich on-line, 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a każdy zespół ma transparentnie opisaną ścieżkę rozwoju. </w:t>
      </w:r>
    </w:p>
    <w:p w:rsidR="005363A8" w:rsidRPr="005363A8" w:rsidRDefault="005363A8" w:rsidP="005363A8">
      <w:pPr>
        <w:rPr>
          <w:rFonts w:ascii="Calibri" w:hAnsi="Calibri" w:cs="Calibri"/>
          <w:color w:val="2C2C2C"/>
          <w:shd w:val="clear" w:color="auto" w:fill="FFFFFF"/>
          <w:lang w:eastAsia="pl-PL"/>
        </w:rPr>
      </w:pPr>
      <w:r>
        <w:rPr>
          <w:rFonts w:ascii="Calibri" w:hAnsi="Calibri" w:cs="Calibri"/>
          <w:color w:val="2C2C2C"/>
          <w:shd w:val="clear" w:color="auto" w:fill="FFFFFF"/>
          <w:lang w:eastAsia="pl-PL"/>
        </w:rPr>
        <w:br w:type="page"/>
      </w:r>
    </w:p>
    <w:p w:rsidR="005363A8" w:rsidRPr="005363A8" w:rsidRDefault="00500165" w:rsidP="005363A8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>
        <w:rPr>
          <w:rFonts w:ascii="Calibri" w:eastAsia="Calibri" w:hAnsi="Calibri"/>
          <w:b/>
          <w:color w:val="002060"/>
        </w:rPr>
        <w:lastRenderedPageBreak/>
        <w:t>Schemat</w:t>
      </w:r>
      <w:r w:rsidR="005363A8" w:rsidRPr="005363A8">
        <w:rPr>
          <w:rFonts w:ascii="Calibri" w:eastAsia="Calibri" w:hAnsi="Calibri"/>
          <w:b/>
          <w:color w:val="002060"/>
        </w:rPr>
        <w:t xml:space="preserve"> 1. Fragment opisu ścieżki kariery dla stanowiska iOS Developer w firmie </w:t>
      </w:r>
      <w:proofErr w:type="spellStart"/>
      <w:r w:rsidR="005363A8" w:rsidRPr="005363A8">
        <w:rPr>
          <w:rFonts w:ascii="Calibri" w:eastAsia="Calibri" w:hAnsi="Calibri"/>
          <w:b/>
          <w:color w:val="002060"/>
        </w:rPr>
        <w:t>Netguru</w:t>
      </w:r>
      <w:proofErr w:type="spellEnd"/>
      <w:r w:rsidR="005363A8" w:rsidRPr="005363A8">
        <w:rPr>
          <w:rFonts w:ascii="Calibri" w:eastAsia="Calibri" w:hAnsi="Calibri"/>
          <w:b/>
          <w:color w:val="002060"/>
        </w:rPr>
        <w:t xml:space="preserve"> </w:t>
      </w:r>
    </w:p>
    <w:p w:rsidR="005363A8" w:rsidRPr="005363A8" w:rsidRDefault="005363A8" w:rsidP="005363A8">
      <w:pPr>
        <w:spacing w:line="276" w:lineRule="auto"/>
        <w:rPr>
          <w:rFonts w:ascii="Calibri" w:eastAsia="Calibri" w:hAnsi="Calibri"/>
          <w:b/>
          <w:color w:val="002060"/>
        </w:rPr>
      </w:pPr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color w:val="2C2C2C"/>
          <w:shd w:val="clear" w:color="auto" w:fill="FFFFFF"/>
          <w:lang w:eastAsia="pl-PL"/>
        </w:rPr>
      </w:pPr>
      <w:r w:rsidRPr="005363A8">
        <w:rPr>
          <w:rFonts w:ascii="Calibri" w:hAnsi="Calibri" w:cs="Calibri"/>
          <w:noProof/>
          <w:color w:val="2C2C2C"/>
          <w:shd w:val="clear" w:color="auto" w:fill="FFFFFF"/>
          <w:lang w:val="en-US"/>
        </w:rPr>
        <w:drawing>
          <wp:inline distT="0" distB="0" distL="0" distR="0" wp14:anchorId="508D9E3A" wp14:editId="63FBED16">
            <wp:extent cx="5760720" cy="236791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zechwytywani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3A8" w:rsidRPr="005363A8" w:rsidRDefault="005363A8" w:rsidP="005363A8">
      <w:pPr>
        <w:spacing w:line="276" w:lineRule="auto"/>
        <w:jc w:val="center"/>
        <w:rPr>
          <w:rFonts w:ascii="Calibri" w:eastAsia="Calibri" w:hAnsi="Calibri"/>
          <w:sz w:val="22"/>
          <w:szCs w:val="22"/>
        </w:rPr>
      </w:pPr>
      <w:r w:rsidRPr="005363A8">
        <w:rPr>
          <w:rFonts w:ascii="Calibri" w:eastAsia="Calibri" w:hAnsi="Calibri"/>
          <w:i/>
          <w:color w:val="000000"/>
          <w:sz w:val="20"/>
          <w:szCs w:val="20"/>
        </w:rPr>
        <w:t xml:space="preserve">Źródło: </w:t>
      </w:r>
      <w:hyperlink r:id="rId12" w:history="1">
        <w:r w:rsidRPr="005363A8">
          <w:rPr>
            <w:rFonts w:ascii="Calibri" w:eastAsia="Calibri" w:hAnsi="Calibri"/>
            <w:i/>
            <w:color w:val="000000"/>
            <w:sz w:val="20"/>
            <w:szCs w:val="20"/>
          </w:rPr>
          <w:t>https://www.netguru.com/career/paths/ios</w:t>
        </w:r>
      </w:hyperlink>
    </w:p>
    <w:p w:rsidR="005363A8" w:rsidRPr="005363A8" w:rsidRDefault="005363A8" w:rsidP="005363A8">
      <w:pPr>
        <w:spacing w:line="276" w:lineRule="auto"/>
        <w:jc w:val="both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</w:p>
    <w:p w:rsidR="00A31385" w:rsidRPr="005363A8" w:rsidRDefault="005363A8" w:rsidP="005363A8">
      <w:pPr>
        <w:spacing w:line="276" w:lineRule="auto"/>
        <w:jc w:val="both"/>
        <w:rPr>
          <w:rFonts w:ascii="Calibri" w:hAnsi="Calibri" w:cs="Calibri"/>
          <w:b/>
          <w:color w:val="2C2C2C"/>
          <w:shd w:val="clear" w:color="auto" w:fill="FFFFFF"/>
          <w:lang w:eastAsia="pl-PL"/>
        </w:rPr>
      </w:pPr>
      <w:hyperlink r:id="rId13" w:history="1"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>Jak podkreśla Dorota Piotrowska</w:t>
        </w:r>
      </w:hyperlink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,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Head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of People w 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Netguru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, jawność widełek płacowych wprowadzona w oparciu o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 przejrzystą i logiczną tabelę płacową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, </w:t>
      </w:r>
      <w:r w:rsidRPr="005363A8">
        <w:rPr>
          <w:rFonts w:ascii="Calibri" w:hAnsi="Calibri" w:cs="Calibri"/>
          <w:b/>
          <w:color w:val="2C2C2C"/>
          <w:shd w:val="clear" w:color="auto" w:fill="FFFFFF"/>
          <w:lang w:eastAsia="pl-PL"/>
        </w:rPr>
        <w:t>uzasadnioną trendami rynkowymi</w:t>
      </w:r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może przynieść jedynie poczucie sprawiedliwości, satysfakcji i zaangażowania pracowników i kandydatów. Polityka przejrzystości wynagrodzeń ma przełożenie na poziom rotacji w </w:t>
      </w:r>
      <w:proofErr w:type="spellStart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Netguru</w:t>
      </w:r>
      <w:proofErr w:type="spellEnd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 xml:space="preserve"> (3%), który jest dużo niższy niż średni dla bra</w:t>
      </w:r>
      <w:bookmarkStart w:id="1" w:name="_GoBack"/>
      <w:bookmarkEnd w:id="1"/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nży IT, gdzie wyniósł 14% (</w:t>
      </w:r>
      <w:hyperlink r:id="rId14" w:history="1"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 xml:space="preserve">Raport </w:t>
        </w:r>
        <w:proofErr w:type="spellStart"/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>WskaźnikiHR</w:t>
        </w:r>
        <w:proofErr w:type="spellEnd"/>
        <w:r w:rsidRPr="005363A8">
          <w:rPr>
            <w:rFonts w:ascii="Calibri" w:hAnsi="Calibri" w:cs="Calibri"/>
            <w:color w:val="0563C1"/>
            <w:u w:val="single"/>
            <w:shd w:val="clear" w:color="auto" w:fill="FFFFFF"/>
            <w:lang w:eastAsia="pl-PL"/>
          </w:rPr>
          <w:t>, 2018</w:t>
        </w:r>
      </w:hyperlink>
      <w:r w:rsidRPr="005363A8">
        <w:rPr>
          <w:rFonts w:ascii="Calibri" w:hAnsi="Calibri" w:cs="Calibri"/>
          <w:color w:val="2C2C2C"/>
          <w:shd w:val="clear" w:color="auto" w:fill="FFFFFF"/>
          <w:lang w:eastAsia="pl-PL"/>
        </w:rPr>
        <w:t>).</w:t>
      </w: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7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8"/>
      <w:footerReference w:type="default" r:id="rId19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76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2B9C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0165"/>
    <w:rsid w:val="005078F7"/>
    <w:rsid w:val="005111D8"/>
    <w:rsid w:val="00514744"/>
    <w:rsid w:val="00526EBB"/>
    <w:rsid w:val="0052750E"/>
    <w:rsid w:val="005316C8"/>
    <w:rsid w:val="005363A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ynagrodzenia.pl/artykul/jawnosc-plac-w-firmie-it-wywiad-z-dorota-piotrowska-head-of-people-w-firmie-netgu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netguru.com/career/paths/ios" TargetMode="External"/><Relationship Id="rId17" Type="http://schemas.openxmlformats.org/officeDocument/2006/relationships/hyperlink" Target="http://wynagrodzenia.pl/t/ogolnopolskie-badanie-wynagrodzen-np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wynagrodzenia.pl/" TargetMode="External"/><Relationship Id="rId10" Type="http://schemas.openxmlformats.org/officeDocument/2006/relationships/hyperlink" Target="https://wynagrodzenia.pl/artykul/pelna-jawnosc-plac-w-polskiej-firmie-wywiad-z-jakubem-bierzynskim-prezesem-domu-mediowego-omd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yperlink" Target="https://wskaznikihr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EC43-7909-4321-9053-B81081B2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8700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2</cp:revision>
  <cp:lastPrinted>2016-12-19T13:09:00Z</cp:lastPrinted>
  <dcterms:created xsi:type="dcterms:W3CDTF">2019-06-06T10:12:00Z</dcterms:created>
  <dcterms:modified xsi:type="dcterms:W3CDTF">2019-06-06T10:12:00Z</dcterms:modified>
</cp:coreProperties>
</file>